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06B6" w14:textId="32BDEA8E" w:rsidR="00E83373" w:rsidRPr="001C2D8B" w:rsidRDefault="00E0267E" w:rsidP="00E0267E">
      <w:pPr>
        <w:jc w:val="center"/>
        <w:rPr>
          <w:b/>
          <w:bCs/>
          <w:sz w:val="36"/>
          <w:szCs w:val="36"/>
          <w:u w:val="single"/>
        </w:rPr>
      </w:pPr>
      <w:r w:rsidRPr="001C2D8B">
        <w:rPr>
          <w:b/>
          <w:bCs/>
          <w:sz w:val="36"/>
          <w:szCs w:val="36"/>
          <w:u w:val="single"/>
        </w:rPr>
        <w:t xml:space="preserve">EPA </w:t>
      </w:r>
      <w:r w:rsidR="00DF79A7" w:rsidRPr="001C2D8B">
        <w:rPr>
          <w:b/>
          <w:bCs/>
          <w:sz w:val="36"/>
          <w:szCs w:val="36"/>
          <w:u w:val="single"/>
        </w:rPr>
        <w:t xml:space="preserve">Amendment </w:t>
      </w:r>
      <w:r w:rsidRPr="001C2D8B">
        <w:rPr>
          <w:b/>
          <w:bCs/>
          <w:sz w:val="36"/>
          <w:szCs w:val="36"/>
          <w:u w:val="single"/>
        </w:rPr>
        <w:t>Ballot Information Guide</w:t>
      </w:r>
    </w:p>
    <w:p w14:paraId="2B4D7281" w14:textId="77777777" w:rsidR="00E0267E" w:rsidRDefault="00E0267E" w:rsidP="00DF79A7">
      <w:pPr>
        <w:rPr>
          <w:b/>
          <w:bCs/>
          <w:sz w:val="28"/>
          <w:szCs w:val="28"/>
        </w:rPr>
      </w:pPr>
    </w:p>
    <w:p w14:paraId="731E972E" w14:textId="04B74F21" w:rsidR="00E0267E" w:rsidRDefault="00020EDA" w:rsidP="00DF79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Amendments</w:t>
      </w:r>
      <w:r w:rsidR="00FF4E46">
        <w:rPr>
          <w:b/>
          <w:bCs/>
          <w:sz w:val="28"/>
          <w:szCs w:val="28"/>
        </w:rPr>
        <w:t xml:space="preserve"> to the “Whereas” Section</w:t>
      </w:r>
    </w:p>
    <w:p w14:paraId="7016FD6E" w14:textId="77777777" w:rsidR="005C090A" w:rsidRPr="005C090A" w:rsidRDefault="005C090A" w:rsidP="001C2D8B">
      <w:pPr>
        <w:pStyle w:val="ListParagraph"/>
        <w:numPr>
          <w:ilvl w:val="0"/>
          <w:numId w:val="2"/>
        </w:numPr>
        <w:spacing w:after="120"/>
        <w:contextualSpacing w:val="0"/>
        <w:rPr>
          <w:sz w:val="28"/>
          <w:szCs w:val="28"/>
        </w:rPr>
      </w:pPr>
      <w:r w:rsidRPr="005C090A">
        <w:rPr>
          <w:sz w:val="28"/>
          <w:szCs w:val="28"/>
        </w:rPr>
        <w:t>Expanded from three (3) paragraphs to seven (7) paragraphs.</w:t>
      </w:r>
    </w:p>
    <w:p w14:paraId="0FF1A502" w14:textId="1E86801C" w:rsidR="005C090A" w:rsidRPr="005C090A" w:rsidRDefault="005C090A" w:rsidP="005C090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090A">
        <w:rPr>
          <w:sz w:val="28"/>
          <w:szCs w:val="28"/>
        </w:rPr>
        <w:t xml:space="preserve"> Includes language about the importance of the Cree Language</w:t>
      </w:r>
      <w:r>
        <w:rPr>
          <w:sz w:val="28"/>
          <w:szCs w:val="28"/>
        </w:rPr>
        <w:t xml:space="preserve"> and the </w:t>
      </w:r>
      <w:r w:rsidRPr="005C090A">
        <w:rPr>
          <w:sz w:val="28"/>
          <w:szCs w:val="28"/>
        </w:rPr>
        <w:t>connection between the people and the land</w:t>
      </w:r>
      <w:r>
        <w:rPr>
          <w:sz w:val="28"/>
          <w:szCs w:val="28"/>
        </w:rPr>
        <w:t xml:space="preserve">. Also adds </w:t>
      </w:r>
      <w:r w:rsidR="006C5757">
        <w:rPr>
          <w:sz w:val="28"/>
          <w:szCs w:val="28"/>
        </w:rPr>
        <w:t xml:space="preserve">additional </w:t>
      </w:r>
      <w:r>
        <w:rPr>
          <w:sz w:val="28"/>
          <w:szCs w:val="28"/>
        </w:rPr>
        <w:t xml:space="preserve">language on sovereignty and accountability. </w:t>
      </w:r>
    </w:p>
    <w:p w14:paraId="029C958E" w14:textId="77777777" w:rsidR="00E0267E" w:rsidRDefault="00E0267E" w:rsidP="00DF79A7">
      <w:pPr>
        <w:rPr>
          <w:b/>
          <w:bCs/>
          <w:sz w:val="28"/>
          <w:szCs w:val="28"/>
        </w:rPr>
      </w:pPr>
    </w:p>
    <w:p w14:paraId="538FE401" w14:textId="59AA9A3B" w:rsidR="00E0267E" w:rsidRDefault="00020EDA" w:rsidP="00DF79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Candidate requirements Amendments</w:t>
      </w:r>
    </w:p>
    <w:p w14:paraId="279C8FD2" w14:textId="33317571" w:rsidR="00020EDA" w:rsidRPr="00020EDA" w:rsidRDefault="00020EDA" w:rsidP="001C2D8B">
      <w:pPr>
        <w:pStyle w:val="ListParagraph"/>
        <w:numPr>
          <w:ilvl w:val="0"/>
          <w:numId w:val="2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Sections 4.3 – 4.12</w:t>
      </w:r>
      <w:r w:rsidR="006C5757">
        <w:rPr>
          <w:sz w:val="28"/>
          <w:szCs w:val="28"/>
        </w:rPr>
        <w:t>, Schedule E (Cree Language learning agreement)</w:t>
      </w:r>
      <w:r w:rsidR="001C2D8B">
        <w:rPr>
          <w:sz w:val="28"/>
          <w:szCs w:val="28"/>
        </w:rPr>
        <w:t>, Schedule A, Nomination form.</w:t>
      </w:r>
    </w:p>
    <w:p w14:paraId="6B620069" w14:textId="7D06B002" w:rsidR="00020EDA" w:rsidRPr="00020EDA" w:rsidRDefault="00020EDA" w:rsidP="00020ED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20EDA">
        <w:rPr>
          <w:sz w:val="28"/>
          <w:szCs w:val="28"/>
          <w:lang w:val="en-CA"/>
        </w:rPr>
        <w:t>Expands the candidate requirements</w:t>
      </w:r>
      <w:r w:rsidR="006C5757">
        <w:rPr>
          <w:sz w:val="28"/>
          <w:szCs w:val="28"/>
          <w:lang w:val="en-CA"/>
        </w:rPr>
        <w:t xml:space="preserve">, which </w:t>
      </w:r>
      <w:proofErr w:type="gramStart"/>
      <w:r w:rsidR="006C5757">
        <w:rPr>
          <w:sz w:val="28"/>
          <w:szCs w:val="28"/>
          <w:lang w:val="en-CA"/>
        </w:rPr>
        <w:t>includes:</w:t>
      </w:r>
      <w:proofErr w:type="gramEnd"/>
      <w:r w:rsidR="006C5757">
        <w:rPr>
          <w:sz w:val="28"/>
          <w:szCs w:val="28"/>
          <w:lang w:val="en-CA"/>
        </w:rPr>
        <w:t xml:space="preserve"> Cree language requirements; no criminal convictions for 5 years; no pending charges; cannot be on the Child or Adult abuse registry, increase to 3 nominators (one must 60 years of age or over); $100 filling dues to run; and residency requirements.</w:t>
      </w:r>
    </w:p>
    <w:p w14:paraId="50357F66" w14:textId="77777777" w:rsidR="00E0267E" w:rsidRDefault="00E0267E" w:rsidP="00DF79A7">
      <w:pPr>
        <w:rPr>
          <w:b/>
          <w:bCs/>
          <w:sz w:val="28"/>
          <w:szCs w:val="28"/>
        </w:rPr>
      </w:pPr>
    </w:p>
    <w:p w14:paraId="0A6A1CE7" w14:textId="55D5EDF0" w:rsidR="00DF79A7" w:rsidRPr="00E0267E" w:rsidRDefault="00DF79A7" w:rsidP="00DF79A7">
      <w:pPr>
        <w:rPr>
          <w:b/>
          <w:bCs/>
          <w:sz w:val="28"/>
          <w:szCs w:val="28"/>
        </w:rPr>
      </w:pPr>
      <w:r w:rsidRPr="00E0267E">
        <w:rPr>
          <w:b/>
          <w:bCs/>
          <w:sz w:val="28"/>
          <w:szCs w:val="28"/>
        </w:rPr>
        <w:t xml:space="preserve">Electronic Voting </w:t>
      </w:r>
      <w:r w:rsidR="006C5757">
        <w:rPr>
          <w:b/>
          <w:bCs/>
          <w:sz w:val="28"/>
          <w:szCs w:val="28"/>
        </w:rPr>
        <w:t xml:space="preserve">Amendments </w:t>
      </w:r>
    </w:p>
    <w:p w14:paraId="01C45D56" w14:textId="0010112F" w:rsidR="00DF79A7" w:rsidRDefault="00DF79A7" w:rsidP="001C2D8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E0267E">
        <w:rPr>
          <w:sz w:val="28"/>
          <w:szCs w:val="28"/>
        </w:rPr>
        <w:t xml:space="preserve">Section 6.6 </w:t>
      </w:r>
      <w:r w:rsidR="001C2D8B">
        <w:rPr>
          <w:sz w:val="28"/>
          <w:szCs w:val="28"/>
        </w:rPr>
        <w:t xml:space="preserve">– </w:t>
      </w:r>
      <w:r w:rsidRPr="00E0267E">
        <w:rPr>
          <w:sz w:val="28"/>
          <w:szCs w:val="28"/>
        </w:rPr>
        <w:t>6.11</w:t>
      </w:r>
    </w:p>
    <w:p w14:paraId="401F9FBC" w14:textId="232081BD" w:rsidR="00E0267E" w:rsidRPr="00E0267E" w:rsidRDefault="00E0267E" w:rsidP="00E0267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These sections o</w:t>
      </w:r>
      <w:r w:rsidRPr="00E0267E">
        <w:rPr>
          <w:sz w:val="28"/>
          <w:szCs w:val="28"/>
        </w:rPr>
        <w:t>utline the rules around when and how Electronic Voting can be u</w:t>
      </w:r>
      <w:r>
        <w:rPr>
          <w:sz w:val="28"/>
          <w:szCs w:val="28"/>
        </w:rPr>
        <w:t>sed</w:t>
      </w:r>
      <w:r w:rsidRPr="00E0267E">
        <w:rPr>
          <w:sz w:val="28"/>
          <w:szCs w:val="28"/>
        </w:rPr>
        <w:t xml:space="preserve">. </w:t>
      </w:r>
    </w:p>
    <w:p w14:paraId="721E69C7" w14:textId="77777777" w:rsidR="00E0267E" w:rsidRPr="00E0267E" w:rsidRDefault="00E0267E" w:rsidP="00E0267E">
      <w:pPr>
        <w:rPr>
          <w:sz w:val="28"/>
          <w:szCs w:val="28"/>
        </w:rPr>
      </w:pPr>
    </w:p>
    <w:p w14:paraId="7D79F3EE" w14:textId="098EF60B" w:rsidR="00DF79A7" w:rsidRDefault="008811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Appeal Committee Amendments </w:t>
      </w:r>
    </w:p>
    <w:p w14:paraId="2A6DABD8" w14:textId="7F850449" w:rsidR="0088116F" w:rsidRPr="0088116F" w:rsidRDefault="0088116F" w:rsidP="008811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Sections 1.1(</w:t>
      </w:r>
      <w:r w:rsidR="002708EB">
        <w:rPr>
          <w:sz w:val="28"/>
          <w:szCs w:val="28"/>
        </w:rPr>
        <w:t>b</w:t>
      </w:r>
      <w:r>
        <w:rPr>
          <w:sz w:val="28"/>
          <w:szCs w:val="28"/>
        </w:rPr>
        <w:t xml:space="preserve">), 5.15, 5.18, 6.10, </w:t>
      </w:r>
    </w:p>
    <w:p w14:paraId="2716970F" w14:textId="1784793D" w:rsidR="0088116F" w:rsidRPr="0088116F" w:rsidRDefault="0088116F" w:rsidP="008811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Section 7 (all)</w:t>
      </w:r>
      <w:r w:rsidR="001C2D8B">
        <w:rPr>
          <w:sz w:val="28"/>
          <w:szCs w:val="28"/>
        </w:rPr>
        <w:t xml:space="preserve"> – Appeal and Ethics Commission</w:t>
      </w:r>
    </w:p>
    <w:p w14:paraId="6BFF50BE" w14:textId="3751AB4A" w:rsidR="0088116F" w:rsidRPr="0088116F" w:rsidRDefault="0088116F" w:rsidP="008811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Section 8 (all)</w:t>
      </w:r>
      <w:r w:rsidR="001C2D8B">
        <w:rPr>
          <w:sz w:val="28"/>
          <w:szCs w:val="28"/>
        </w:rPr>
        <w:t xml:space="preserve"> – Remuneration of Electoral Officer and Commission</w:t>
      </w:r>
    </w:p>
    <w:p w14:paraId="3173B235" w14:textId="0DBB833B" w:rsidR="0088116F" w:rsidRPr="00535776" w:rsidRDefault="0088116F" w:rsidP="008811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Section 9 (all)</w:t>
      </w:r>
      <w:r w:rsidR="001C2D8B">
        <w:rPr>
          <w:sz w:val="28"/>
          <w:szCs w:val="28"/>
        </w:rPr>
        <w:t xml:space="preserve"> – Vacancy, Removal and Suspension of Office</w:t>
      </w:r>
    </w:p>
    <w:p w14:paraId="7FEF3C79" w14:textId="74683B34" w:rsidR="00535776" w:rsidRPr="00535776" w:rsidRDefault="00535776" w:rsidP="001C2D8B">
      <w:pPr>
        <w:pStyle w:val="ListParagraph"/>
        <w:numPr>
          <w:ilvl w:val="0"/>
          <w:numId w:val="1"/>
        </w:numPr>
        <w:spacing w:after="120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>Section 10 (all)</w:t>
      </w:r>
      <w:r w:rsidR="001C2D8B">
        <w:rPr>
          <w:sz w:val="28"/>
          <w:szCs w:val="28"/>
        </w:rPr>
        <w:t xml:space="preserve"> – Duties and Responsibilities of Chief and Council </w:t>
      </w:r>
    </w:p>
    <w:p w14:paraId="68A8117B" w14:textId="67FFC60A" w:rsidR="001C2D8B" w:rsidRPr="001C2D8B" w:rsidRDefault="00535776" w:rsidP="00535776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These </w:t>
      </w:r>
      <w:r w:rsidR="00FF4E46">
        <w:rPr>
          <w:sz w:val="28"/>
          <w:szCs w:val="28"/>
        </w:rPr>
        <w:t>amendments</w:t>
      </w:r>
      <w:r>
        <w:rPr>
          <w:sz w:val="28"/>
          <w:szCs w:val="28"/>
        </w:rPr>
        <w:t xml:space="preserve"> include any changes to the previous “Appeal Committee”, including all amendments related to oversight of Chief and Council. </w:t>
      </w:r>
    </w:p>
    <w:p w14:paraId="0A55B72F" w14:textId="5DD7B4C8" w:rsidR="00535776" w:rsidRPr="001C2D8B" w:rsidRDefault="00535776" w:rsidP="00535776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Without the creation of the “Appeal and Ethics Committee”</w:t>
      </w:r>
      <w:r w:rsidR="001C2D8B">
        <w:rPr>
          <w:sz w:val="28"/>
          <w:szCs w:val="28"/>
        </w:rPr>
        <w:t xml:space="preserve"> and their expanded role,</w:t>
      </w:r>
      <w:r>
        <w:rPr>
          <w:sz w:val="28"/>
          <w:szCs w:val="28"/>
        </w:rPr>
        <w:t xml:space="preserve"> there is no language in the </w:t>
      </w:r>
      <w:r w:rsidR="001C2D8B">
        <w:rPr>
          <w:sz w:val="28"/>
          <w:szCs w:val="28"/>
        </w:rPr>
        <w:t xml:space="preserve">current EPA to enforce any of the additional amendments increasing oversight or adding additional roles and responsibilities for Chief and Council. </w:t>
      </w:r>
    </w:p>
    <w:p w14:paraId="10AA05D6" w14:textId="77777777" w:rsidR="001C2D8B" w:rsidRDefault="001C2D8B" w:rsidP="001C2D8B">
      <w:pPr>
        <w:rPr>
          <w:b/>
          <w:bCs/>
          <w:sz w:val="28"/>
          <w:szCs w:val="28"/>
        </w:rPr>
      </w:pPr>
    </w:p>
    <w:p w14:paraId="42168EA9" w14:textId="77777777" w:rsidR="001C2D8B" w:rsidRDefault="001C2D8B" w:rsidP="001C2D8B">
      <w:pPr>
        <w:rPr>
          <w:b/>
          <w:bCs/>
          <w:sz w:val="28"/>
          <w:szCs w:val="28"/>
        </w:rPr>
      </w:pPr>
    </w:p>
    <w:p w14:paraId="63A23D81" w14:textId="77777777" w:rsidR="001C2D8B" w:rsidRDefault="001C2D8B" w:rsidP="001C2D8B">
      <w:pPr>
        <w:rPr>
          <w:b/>
          <w:bCs/>
          <w:sz w:val="28"/>
          <w:szCs w:val="28"/>
        </w:rPr>
      </w:pPr>
    </w:p>
    <w:p w14:paraId="038E67D5" w14:textId="0964306B" w:rsidR="001C2D8B" w:rsidRDefault="001C2D8B" w:rsidP="001C2D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Amendments to the Amendment Procedure</w:t>
      </w:r>
    </w:p>
    <w:p w14:paraId="437903AB" w14:textId="004E96BA" w:rsidR="001C2D8B" w:rsidRDefault="001C2D8B" w:rsidP="00FF4E46">
      <w:pPr>
        <w:pStyle w:val="ListParagraph"/>
        <w:numPr>
          <w:ilvl w:val="0"/>
          <w:numId w:val="3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Sections 11.1 – 11.4. </w:t>
      </w:r>
    </w:p>
    <w:p w14:paraId="4E18CD65" w14:textId="77777777" w:rsidR="001C2D8B" w:rsidRDefault="001C2D8B" w:rsidP="001C2D8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These amendments include the following:</w:t>
      </w:r>
    </w:p>
    <w:p w14:paraId="378925CE" w14:textId="5320CD9E" w:rsidR="001C2D8B" w:rsidRDefault="001C2D8B" w:rsidP="001C2D8B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1C2D8B">
        <w:rPr>
          <w:sz w:val="28"/>
          <w:szCs w:val="28"/>
        </w:rPr>
        <w:t>ntroduces two amendment initiation processes – Council initiated amendments and amendments proposed by NHCN members</w:t>
      </w:r>
      <w:r>
        <w:rPr>
          <w:sz w:val="28"/>
          <w:szCs w:val="28"/>
        </w:rPr>
        <w:t>;</w:t>
      </w:r>
      <w:r w:rsidRPr="001C2D8B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</w:p>
    <w:p w14:paraId="0B738052" w14:textId="018B1B32" w:rsidR="001C2D8B" w:rsidRDefault="001C2D8B" w:rsidP="001C2D8B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Changes the current EPA so </w:t>
      </w:r>
      <w:r w:rsidRPr="001C2D8B">
        <w:rPr>
          <w:sz w:val="28"/>
          <w:szCs w:val="28"/>
        </w:rPr>
        <w:t xml:space="preserve">that once amendments are passed by the people the Chief and Council </w:t>
      </w:r>
      <w:r>
        <w:rPr>
          <w:sz w:val="28"/>
          <w:szCs w:val="28"/>
        </w:rPr>
        <w:t>must</w:t>
      </w:r>
      <w:r w:rsidRPr="001C2D8B">
        <w:rPr>
          <w:sz w:val="28"/>
          <w:szCs w:val="28"/>
        </w:rPr>
        <w:t xml:space="preserve"> accept and ratify the amendments</w:t>
      </w:r>
      <w:r>
        <w:rPr>
          <w:sz w:val="28"/>
          <w:szCs w:val="28"/>
        </w:rPr>
        <w:t xml:space="preserve">. </w:t>
      </w:r>
    </w:p>
    <w:p w14:paraId="50B27610" w14:textId="77777777" w:rsidR="00FF4E46" w:rsidRDefault="00FF4E46" w:rsidP="00FF4E46">
      <w:pPr>
        <w:rPr>
          <w:sz w:val="28"/>
          <w:szCs w:val="28"/>
        </w:rPr>
      </w:pPr>
    </w:p>
    <w:p w14:paraId="68C08F03" w14:textId="0825BFAE" w:rsidR="00FF4E46" w:rsidRDefault="00FF4E46" w:rsidP="00FF4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Remaining Amendments</w:t>
      </w:r>
    </w:p>
    <w:p w14:paraId="4E1B9355" w14:textId="5A618A7D" w:rsidR="002708EB" w:rsidRPr="002708EB" w:rsidRDefault="002708EB" w:rsidP="002708E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These Amendments include the following:</w:t>
      </w:r>
      <w:r>
        <w:rPr>
          <w:sz w:val="28"/>
          <w:szCs w:val="28"/>
        </w:rPr>
        <w:tab/>
      </w:r>
    </w:p>
    <w:p w14:paraId="160AD994" w14:textId="7C896E39" w:rsidR="002708EB" w:rsidRPr="002708EB" w:rsidRDefault="002708EB" w:rsidP="002708E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708EB">
        <w:rPr>
          <w:sz w:val="28"/>
          <w:szCs w:val="28"/>
        </w:rPr>
        <w:t xml:space="preserve">Overall amendments to the grammar and clarity </w:t>
      </w:r>
      <w:r w:rsidR="00D849C4">
        <w:rPr>
          <w:sz w:val="28"/>
          <w:szCs w:val="28"/>
        </w:rPr>
        <w:t>of the</w:t>
      </w:r>
      <w:r w:rsidRPr="002708EB">
        <w:rPr>
          <w:sz w:val="28"/>
          <w:szCs w:val="28"/>
        </w:rPr>
        <w:t xml:space="preserve"> </w:t>
      </w:r>
      <w:r w:rsidR="00D849C4">
        <w:rPr>
          <w:sz w:val="28"/>
          <w:szCs w:val="28"/>
        </w:rPr>
        <w:t xml:space="preserve">entire </w:t>
      </w:r>
      <w:r w:rsidRPr="002708EB">
        <w:rPr>
          <w:sz w:val="28"/>
          <w:szCs w:val="28"/>
        </w:rPr>
        <w:t>EPA</w:t>
      </w:r>
      <w:r w:rsidR="00D849C4">
        <w:rPr>
          <w:sz w:val="28"/>
          <w:szCs w:val="28"/>
        </w:rPr>
        <w:t>.</w:t>
      </w:r>
    </w:p>
    <w:p w14:paraId="5C645BDE" w14:textId="509613A8" w:rsidR="002708EB" w:rsidRDefault="002708EB" w:rsidP="002708E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Additional definitions – Blackout Period, Corrupt Practice, General Band Meeting, Malfeasance.</w:t>
      </w:r>
    </w:p>
    <w:p w14:paraId="5D426439" w14:textId="3C9AEDDD" w:rsidR="002708EB" w:rsidRDefault="002708EB" w:rsidP="002708E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Amendments clarifying use of pronouns and the use of headings.</w:t>
      </w:r>
    </w:p>
    <w:p w14:paraId="15B65B5F" w14:textId="35A23696" w:rsidR="002708EB" w:rsidRDefault="002708EB" w:rsidP="002708E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Amendments that a person can only run for </w:t>
      </w:r>
      <w:r w:rsidR="00D849C4">
        <w:rPr>
          <w:sz w:val="28"/>
          <w:szCs w:val="28"/>
        </w:rPr>
        <w:t xml:space="preserve">Chief or Councillor, not both. </w:t>
      </w:r>
    </w:p>
    <w:p w14:paraId="5D429CD1" w14:textId="1A61B72D" w:rsidR="00D849C4" w:rsidRDefault="00D849C4" w:rsidP="002708EB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Amendments on recounts, Oath of Office, Appointment of Deputy Chief and exceptional circumstances. </w:t>
      </w:r>
    </w:p>
    <w:p w14:paraId="39575AFF" w14:textId="408E12F7" w:rsidR="00D849C4" w:rsidRDefault="00D849C4" w:rsidP="00D849C4">
      <w:pPr>
        <w:pStyle w:val="ListParagraph"/>
        <w:numPr>
          <w:ilvl w:val="1"/>
          <w:numId w:val="3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Amendments on advance voting in Winnipeg.</w:t>
      </w:r>
    </w:p>
    <w:p w14:paraId="646E1780" w14:textId="6C0BA00B" w:rsidR="00D849C4" w:rsidRDefault="00D849C4" w:rsidP="00D849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Amendments to the grammar, clarity and formatting in the following Schedules:</w:t>
      </w:r>
    </w:p>
    <w:p w14:paraId="39DDD6B2" w14:textId="5225063A" w:rsidR="00D849C4" w:rsidRDefault="00D849C4" w:rsidP="00D849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Schedule A – Nomination Forms</w:t>
      </w:r>
    </w:p>
    <w:p w14:paraId="759F360D" w14:textId="0FE81390" w:rsidR="00D849C4" w:rsidRDefault="00D849C4" w:rsidP="00D849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Schedule B – Ballot and Absentee Forms</w:t>
      </w:r>
    </w:p>
    <w:p w14:paraId="4EC6F7DD" w14:textId="27348029" w:rsidR="00D849C4" w:rsidRPr="00D849C4" w:rsidRDefault="00D849C4" w:rsidP="00D849C4">
      <w:pPr>
        <w:pStyle w:val="ListParagraph"/>
        <w:numPr>
          <w:ilvl w:val="1"/>
          <w:numId w:val="3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Schedule C – Instructions for Ballot Forms</w:t>
      </w:r>
    </w:p>
    <w:p w14:paraId="0325DB74" w14:textId="1DD529ED" w:rsidR="00D849C4" w:rsidRDefault="00D849C4" w:rsidP="00D849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Amendments creating the following:</w:t>
      </w:r>
    </w:p>
    <w:p w14:paraId="07F9F37D" w14:textId="59951183" w:rsidR="00D849C4" w:rsidRDefault="00D849C4" w:rsidP="00D849C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Schedule D – Blackout Period Guidelines </w:t>
      </w:r>
    </w:p>
    <w:p w14:paraId="5C1F25FC" w14:textId="4F5C4AA6" w:rsidR="00D849C4" w:rsidRDefault="00D849C4" w:rsidP="00D849C4">
      <w:pPr>
        <w:pStyle w:val="ListParagraph"/>
        <w:numPr>
          <w:ilvl w:val="1"/>
          <w:numId w:val="3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Schedule F – Oath of Office for the Chief and Councillors</w:t>
      </w:r>
    </w:p>
    <w:p w14:paraId="5B54FFE9" w14:textId="08643BA3" w:rsidR="00D849C4" w:rsidRDefault="00D849C4" w:rsidP="00D849C4">
      <w:pPr>
        <w:pStyle w:val="ListParagraph"/>
        <w:numPr>
          <w:ilvl w:val="0"/>
          <w:numId w:val="3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Amendments to grammar, clarity and updating of the Appendix – History of the NHCN EPA. </w:t>
      </w:r>
      <w:r w:rsidR="00705519">
        <w:rPr>
          <w:sz w:val="28"/>
          <w:szCs w:val="28"/>
        </w:rPr>
        <w:t xml:space="preserve">If these amendments pass, they will include a final paragraph detailing the result of the vote. </w:t>
      </w:r>
    </w:p>
    <w:p w14:paraId="262E6C3E" w14:textId="58A1815D" w:rsidR="00D849C4" w:rsidRPr="00D849C4" w:rsidRDefault="00D849C4" w:rsidP="00D849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Removal of the list of changes/amendments made in 2005.  </w:t>
      </w:r>
    </w:p>
    <w:sectPr w:rsidR="00D849C4" w:rsidRPr="00D849C4" w:rsidSect="00A01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9526" w14:textId="77777777" w:rsidR="005C090A" w:rsidRDefault="005C090A" w:rsidP="005C090A">
      <w:pPr>
        <w:spacing w:after="0" w:line="240" w:lineRule="auto"/>
      </w:pPr>
      <w:r>
        <w:separator/>
      </w:r>
    </w:p>
  </w:endnote>
  <w:endnote w:type="continuationSeparator" w:id="0">
    <w:p w14:paraId="1ACD161B" w14:textId="77777777" w:rsidR="005C090A" w:rsidRDefault="005C090A" w:rsidP="005C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0720" w14:textId="77777777" w:rsidR="005C090A" w:rsidRDefault="005C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CE50" w14:textId="77777777" w:rsidR="005C090A" w:rsidRDefault="005C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3962" w14:textId="77777777" w:rsidR="005C090A" w:rsidRDefault="005C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1E04" w14:textId="77777777" w:rsidR="005C090A" w:rsidRDefault="005C090A" w:rsidP="005C090A">
      <w:pPr>
        <w:spacing w:after="0" w:line="240" w:lineRule="auto"/>
      </w:pPr>
      <w:r>
        <w:separator/>
      </w:r>
    </w:p>
  </w:footnote>
  <w:footnote w:type="continuationSeparator" w:id="0">
    <w:p w14:paraId="45EACD25" w14:textId="77777777" w:rsidR="005C090A" w:rsidRDefault="005C090A" w:rsidP="005C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94B0" w14:textId="48D4D650" w:rsidR="005C090A" w:rsidRDefault="005C090A">
    <w:pPr>
      <w:pStyle w:val="Header"/>
    </w:pPr>
    <w:r>
      <w:rPr>
        <w:noProof/>
      </w:rPr>
      <w:pict w14:anchorId="282E9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7251" o:spid="_x0000_s2056" type="#_x0000_t75" style="position:absolute;margin-left:0;margin-top:0;width:467.75pt;height:436.9pt;z-index:-251657216;mso-position-horizontal:center;mso-position-horizontal-relative:margin;mso-position-vertical:center;mso-position-vertical-relative:margin" o:allowincell="f">
          <v:imagedata r:id="rId1" o:title="Logo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4794E" w14:textId="1E441165" w:rsidR="005C090A" w:rsidRDefault="005C090A">
    <w:pPr>
      <w:pStyle w:val="Header"/>
    </w:pPr>
    <w:r>
      <w:rPr>
        <w:noProof/>
      </w:rPr>
      <w:pict w14:anchorId="345C0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7252" o:spid="_x0000_s2057" type="#_x0000_t75" style="position:absolute;margin-left:0;margin-top:0;width:467.75pt;height:436.9pt;z-index:-251656192;mso-position-horizontal:center;mso-position-horizontal-relative:margin;mso-position-vertical:center;mso-position-vertical-relative:margin" o:allowincell="f">
          <v:imagedata r:id="rId1" o:title="Logo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5117" w14:textId="07190161" w:rsidR="005C090A" w:rsidRDefault="005C090A">
    <w:pPr>
      <w:pStyle w:val="Header"/>
    </w:pPr>
    <w:r>
      <w:rPr>
        <w:noProof/>
      </w:rPr>
      <w:pict w14:anchorId="6556A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7250" o:spid="_x0000_s2055" type="#_x0000_t75" style="position:absolute;margin-left:0;margin-top:0;width:467.75pt;height:436.9pt;z-index:-251658240;mso-position-horizontal:center;mso-position-horizontal-relative:margin;mso-position-vertical:center;mso-position-vertical-relative:margin" o:allowincell="f">
          <v:imagedata r:id="rId1" o:title="Logo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404A"/>
    <w:multiLevelType w:val="hybridMultilevel"/>
    <w:tmpl w:val="5138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4FFB"/>
    <w:multiLevelType w:val="hybridMultilevel"/>
    <w:tmpl w:val="0AFA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6B28"/>
    <w:multiLevelType w:val="hybridMultilevel"/>
    <w:tmpl w:val="1042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3946">
    <w:abstractNumId w:val="2"/>
  </w:num>
  <w:num w:numId="2" w16cid:durableId="1560357641">
    <w:abstractNumId w:val="1"/>
  </w:num>
  <w:num w:numId="3" w16cid:durableId="178245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A7"/>
    <w:rsid w:val="00020EDA"/>
    <w:rsid w:val="00191DF8"/>
    <w:rsid w:val="001C2D8B"/>
    <w:rsid w:val="002708EB"/>
    <w:rsid w:val="004F2792"/>
    <w:rsid w:val="00535776"/>
    <w:rsid w:val="005C090A"/>
    <w:rsid w:val="006C5757"/>
    <w:rsid w:val="00705519"/>
    <w:rsid w:val="0088116F"/>
    <w:rsid w:val="00A01483"/>
    <w:rsid w:val="00D849C4"/>
    <w:rsid w:val="00DF79A7"/>
    <w:rsid w:val="00E0267E"/>
    <w:rsid w:val="00E83373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B0CB024"/>
  <w15:chartTrackingRefBased/>
  <w15:docId w15:val="{E8F6BAD6-057F-453F-AEB8-1701D20E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9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0A"/>
  </w:style>
  <w:style w:type="paragraph" w:styleId="Footer">
    <w:name w:val="footer"/>
    <w:basedOn w:val="Normal"/>
    <w:link w:val="FooterChar"/>
    <w:uiPriority w:val="99"/>
    <w:unhideWhenUsed/>
    <w:rsid w:val="005C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Saunders</dc:creator>
  <cp:keywords/>
  <dc:description/>
  <cp:lastModifiedBy>Nick Saunders</cp:lastModifiedBy>
  <cp:revision>1</cp:revision>
  <dcterms:created xsi:type="dcterms:W3CDTF">2024-11-27T21:52:00Z</dcterms:created>
  <dcterms:modified xsi:type="dcterms:W3CDTF">2024-11-29T20:19:00Z</dcterms:modified>
</cp:coreProperties>
</file>